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both"/>
        <w:rPr>
          <w:sz w:val="22"/>
          <w:szCs w:val="22"/>
        </w:rPr>
      </w:pPr>
      <w:r>
        <w:rPr>
          <w:sz w:val="22"/>
          <w:szCs w:val="22"/>
        </w:rPr>
        <w:t>DON/DOÑA ………………………………………………………………………………………….</w:t>
      </w:r>
    </w:p>
    <w:p>
      <w:pPr>
        <w:pStyle w:val="Normal1"/>
        <w:jc w:val="both"/>
        <w:rPr>
          <w:sz w:val="22"/>
          <w:szCs w:val="22"/>
        </w:rPr>
      </w:pPr>
      <w:r>
        <w:rPr>
          <w:sz w:val="22"/>
          <w:szCs w:val="22"/>
        </w:rPr>
        <w:t xml:space="preserve">con DNI………………………………...  NRP:  ………………………………………………….. </w:t>
      </w:r>
    </w:p>
    <w:p>
      <w:pPr>
        <w:pStyle w:val="Normal1"/>
        <w:jc w:val="both"/>
        <w:rPr>
          <w:sz w:val="22"/>
          <w:szCs w:val="22"/>
        </w:rPr>
      </w:pPr>
      <w:r>
        <w:rPr>
          <w:sz w:val="22"/>
          <w:szCs w:val="22"/>
        </w:rPr>
        <w:t>funcionario/a del cuerpo de ………………………………………………………………………..</w:t>
      </w:r>
    </w:p>
    <w:p>
      <w:pPr>
        <w:pStyle w:val="Normal1"/>
        <w:jc w:val="both"/>
        <w:rPr>
          <w:sz w:val="22"/>
          <w:szCs w:val="22"/>
        </w:rPr>
      </w:pPr>
      <w:r>
        <w:rPr>
          <w:sz w:val="22"/>
          <w:szCs w:val="22"/>
        </w:rPr>
        <w:t>por la especialidad de ……………………………………………………………………………...</w:t>
      </w:r>
    </w:p>
    <w:p>
      <w:pPr>
        <w:pStyle w:val="Normal1"/>
        <w:jc w:val="both"/>
        <w:rPr>
          <w:sz w:val="22"/>
          <w:szCs w:val="22"/>
        </w:rPr>
      </w:pPr>
      <w:r>
        <w:rPr>
          <w:sz w:val="22"/>
          <w:szCs w:val="22"/>
        </w:rPr>
        <w:t>con domicilio a efectos de notificaciones en ……………………………………………………. …………………………………………………………………………………………………………</w:t>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both"/>
        <w:rPr>
          <w:sz w:val="22"/>
          <w:szCs w:val="22"/>
        </w:rPr>
      </w:pPr>
      <w:r>
        <w:rPr>
          <w:b/>
          <w:sz w:val="22"/>
          <w:szCs w:val="22"/>
        </w:rPr>
        <w:t>EXPONE</w:t>
      </w:r>
      <w:r>
        <w:rPr>
          <w:sz w:val="22"/>
          <w:szCs w:val="22"/>
        </w:rPr>
        <w:t>:</w:t>
      </w:r>
    </w:p>
    <w:p>
      <w:pPr>
        <w:pStyle w:val="Normal1"/>
        <w:jc w:val="both"/>
        <w:rPr>
          <w:sz w:val="22"/>
          <w:szCs w:val="22"/>
        </w:rPr>
      </w:pPr>
      <w:r>
        <w:rPr>
          <w:sz w:val="22"/>
          <w:szCs w:val="22"/>
        </w:rPr>
      </w:r>
    </w:p>
    <w:p>
      <w:pPr>
        <w:pStyle w:val="Normal1"/>
        <w:jc w:val="both"/>
        <w:rPr>
          <w:sz w:val="22"/>
          <w:szCs w:val="22"/>
        </w:rPr>
      </w:pPr>
      <w:r>
        <w:rPr>
          <w:b/>
          <w:sz w:val="22"/>
          <w:szCs w:val="22"/>
        </w:rPr>
        <w:t>ANTECEDENTES DE HECHO:</w:t>
      </w:r>
      <w:r>
        <w:rPr>
          <w:sz w:val="22"/>
          <w:szCs w:val="22"/>
        </w:rPr>
        <w:t xml:space="preserve"> </w:t>
      </w:r>
    </w:p>
    <w:p>
      <w:pPr>
        <w:pStyle w:val="Normal1"/>
        <w:jc w:val="both"/>
        <w:rPr>
          <w:sz w:val="22"/>
          <w:szCs w:val="22"/>
        </w:rPr>
      </w:pPr>
      <w:r>
        <w:rPr/>
      </w:r>
    </w:p>
    <w:p>
      <w:pPr>
        <w:pStyle w:val="Normal1"/>
        <w:jc w:val="both"/>
        <w:rPr>
          <w:sz w:val="22"/>
          <w:szCs w:val="22"/>
        </w:rPr>
      </w:pPr>
      <w:r>
        <w:rPr>
          <w:sz w:val="22"/>
          <w:szCs w:val="22"/>
        </w:rPr>
        <w:t xml:space="preserve">Que es funcionario/a de carrera desde el 1 de septiembre de 2023. </w:t>
      </w:r>
    </w:p>
    <w:p>
      <w:pPr>
        <w:pStyle w:val="Normal1"/>
        <w:jc w:val="both"/>
        <w:rPr>
          <w:sz w:val="22"/>
          <w:szCs w:val="22"/>
        </w:rPr>
      </w:pPr>
      <w:r>
        <w:rPr>
          <w:sz w:val="22"/>
          <w:szCs w:val="22"/>
        </w:rPr>
      </w:r>
    </w:p>
    <w:p>
      <w:pPr>
        <w:pStyle w:val="Normal1"/>
        <w:jc w:val="both"/>
        <w:rPr>
          <w:sz w:val="22"/>
          <w:szCs w:val="22"/>
        </w:rPr>
      </w:pPr>
      <w:r>
        <w:rPr>
          <w:sz w:val="22"/>
          <w:szCs w:val="22"/>
        </w:rPr>
        <w:t>Que el pasado día ………………..   presentó ante la Consejería de Educación, Formación Profesional y Universidades del Gobierno de Cantabria la solicitud de reconocimiento de servicios previos a efectos de trienios y sexenios junto con los justificantes acreditativos de dichos servicios expedidos por la Consejería de Educación del Gobierno de ……………………………………….……………….. siguiendo las indicaciones y plazos impuestos por la propia Consejería de Educación de Cantabria, que en su pagina web (</w:t>
      </w:r>
      <w:hyperlink r:id="rId2">
        <w:r>
          <w:rPr>
            <w:color w:val="1155CC"/>
            <w:sz w:val="22"/>
            <w:szCs w:val="22"/>
            <w:u w:val="single"/>
          </w:rPr>
          <w:t>www.educantabria.es</w:t>
        </w:r>
      </w:hyperlink>
      <w:r>
        <w:rPr>
          <w:sz w:val="22"/>
          <w:szCs w:val="22"/>
        </w:rPr>
        <w:t xml:space="preserve">) dictaba las siguientes instrucciones:  </w:t>
      </w:r>
      <w:r>
        <w:rPr>
          <w:i/>
          <w:sz w:val="22"/>
          <w:szCs w:val="22"/>
        </w:rPr>
        <w:t>Solo se admitirá la presentación de un Anexo II “Solicitud de Reconocimiento de servicios”, acompañado de las certificaciones de servicios previos expedidas por los Jefes de Unidades de personal donde los servicios hubieran sido prestados, ajustadas al modelo Anexo I, Certificación de servicios previos,</w:t>
      </w:r>
      <w:r>
        <w:rPr>
          <w:b/>
          <w:i/>
          <w:sz w:val="22"/>
          <w:szCs w:val="22"/>
        </w:rPr>
        <w:t xml:space="preserve"> una vez que haya finalizado el nombramiento en su administración de origen. </w:t>
      </w:r>
      <w:r>
        <w:rPr>
          <w:i/>
          <w:sz w:val="22"/>
          <w:szCs w:val="22"/>
        </w:rPr>
        <w:t xml:space="preserve">Es decir, si tuviera un nombramiento de vacante a 31 de agosto de 2023, no se presentará, ni admitirá, Anexo II, sin ANEXO I, que incluya todos los servicios prestados. </w:t>
      </w:r>
    </w:p>
    <w:p>
      <w:pPr>
        <w:pStyle w:val="Normal1"/>
        <w:keepNext w:val="false"/>
        <w:keepLines w:val="false"/>
        <w:pageBreakBefore w:val="false"/>
        <w:widowControl/>
        <w:pBdr/>
        <w:shd w:val="clear" w:fill="auto"/>
        <w:spacing w:lineRule="auto" w:line="240" w:before="0" w:after="0"/>
        <w:ind w:left="0" w:right="0" w:hanging="0"/>
        <w:jc w:val="both"/>
        <w:rPr>
          <w:i/>
          <w:i/>
          <w:sz w:val="22"/>
          <w:szCs w:val="22"/>
        </w:rPr>
      </w:pPr>
      <w:r>
        <w:rPr>
          <w:i/>
          <w:sz w:val="22"/>
          <w:szCs w:val="22"/>
        </w:rPr>
      </w:r>
    </w:p>
    <w:p>
      <w:pPr>
        <w:pStyle w:val="Normal1"/>
        <w:jc w:val="both"/>
        <w:rPr>
          <w:sz w:val="22"/>
          <w:szCs w:val="22"/>
        </w:rPr>
      </w:pPr>
      <w:r>
        <w:rPr>
          <w:sz w:val="22"/>
          <w:szCs w:val="22"/>
        </w:rPr>
        <w:t>Posteriormente, por resolución del Director General de Personal Docente de fecha …………………..se acuerda reconocer los servicios previos con fecha ………………. a pesar de que el solicitante acredita haber cumplido dichos servicios con fecha de 1-09-23. Tal y como se establece en la propia resolución, conforme a lo establecido en el artículo 148 de la Ley 5/2018, de 22 de noviembre, de Régimen Jurídico del Gobierno, de la Administración y del Sector Público Institucional de la Comunidad Autónoma de Cantabria, en concordancia con los artículos 121 y 122 de la Ley 39/2015, de 1 de octubre, del Procedimiento Administrativo Común de las Administraciones Públicas, contra dicha resolución puede interponer recurso de alzada ante el Consejero de Educación, Formación Profesional y Universidades del Gobierno de Cantabria, en el plazo de un mes, contado a partir del día siguiente al de su notificación.</w:t>
      </w:r>
    </w:p>
    <w:p>
      <w:pPr>
        <w:pStyle w:val="Normal1"/>
        <w:jc w:val="both"/>
        <w:rPr>
          <w:sz w:val="22"/>
          <w:szCs w:val="22"/>
        </w:rPr>
      </w:pPr>
      <w:r>
        <w:rPr>
          <w:sz w:val="22"/>
          <w:szCs w:val="22"/>
        </w:rPr>
      </w:r>
    </w:p>
    <w:p>
      <w:pPr>
        <w:pStyle w:val="Normal1"/>
        <w:jc w:val="both"/>
        <w:rPr>
          <w:b/>
          <w:sz w:val="22"/>
          <w:szCs w:val="22"/>
        </w:rPr>
      </w:pPr>
      <w:r>
        <w:rPr>
          <w:b/>
          <w:sz w:val="22"/>
          <w:szCs w:val="22"/>
        </w:rPr>
        <w:t>ANTECEDENTES DE DERECHO:</w:t>
      </w:r>
    </w:p>
    <w:p>
      <w:pPr>
        <w:pStyle w:val="Normal1"/>
        <w:jc w:val="both"/>
        <w:rPr>
          <w:b/>
          <w:sz w:val="22"/>
          <w:szCs w:val="22"/>
        </w:rPr>
      </w:pPr>
      <w:r>
        <w:rPr/>
      </w:r>
    </w:p>
    <w:p>
      <w:pPr>
        <w:pStyle w:val="Normal1"/>
        <w:jc w:val="both"/>
        <w:rPr>
          <w:sz w:val="22"/>
          <w:szCs w:val="22"/>
        </w:rPr>
      </w:pPr>
      <w:r>
        <w:rPr>
          <w:sz w:val="22"/>
          <w:szCs w:val="22"/>
        </w:rPr>
        <w:t>La Ley 70/1978, de 26 de diciembre, de reconocimiento de servicios previos en la Administración Pública regula el reconocimiento, a los funcionarios de carrera de la Administración del Estado, de la Local, de la Institucional, de la de Justicia, de la Jurisdicción del Trabajo y de la Seguridad Social, de la totalidad de los servicios indistintamente prestados por ellos en dichas Administraciones, previos a la constitución de los correspondientes Cuerpos, Escalas o plazas o a su ingreso en ellos, así como el período de prácticas de los funcionarios que hayan superado las pruebas de ingreso en la Administración Pública.</w:t>
      </w:r>
    </w:p>
    <w:p>
      <w:pPr>
        <w:pStyle w:val="Normal1"/>
        <w:jc w:val="both"/>
        <w:rPr>
          <w:sz w:val="22"/>
          <w:szCs w:val="22"/>
        </w:rPr>
      </w:pPr>
      <w:r>
        <w:rPr>
          <w:sz w:val="22"/>
          <w:szCs w:val="22"/>
        </w:rPr>
      </w:r>
    </w:p>
    <w:p>
      <w:pPr>
        <w:pStyle w:val="Normal1"/>
        <w:jc w:val="both"/>
        <w:rPr>
          <w:sz w:val="22"/>
          <w:szCs w:val="22"/>
        </w:rPr>
      </w:pPr>
      <w:r>
        <w:rPr>
          <w:sz w:val="22"/>
          <w:szCs w:val="22"/>
        </w:rPr>
        <w:t>De acuerdo con el artículo 1 de dicha norma, se considerarán servicios efectivos todos los indistintamente prestados a las esferas de la Administración pública señaladas en el párrafo anterior, tanto en calidad de funcionario de empleo (eventual o interino) como los prestados en régimen de contratación administrativa o laboral, se hayan formalizado o no documentalmente dichos contratos.</w:t>
      </w:r>
    </w:p>
    <w:p>
      <w:pPr>
        <w:pStyle w:val="Normal1"/>
        <w:jc w:val="both"/>
        <w:rPr>
          <w:sz w:val="22"/>
          <w:szCs w:val="22"/>
        </w:rPr>
      </w:pPr>
      <w:r>
        <w:rPr/>
      </w:r>
    </w:p>
    <w:p>
      <w:pPr>
        <w:pStyle w:val="Normal1"/>
        <w:jc w:val="both"/>
        <w:rPr>
          <w:sz w:val="22"/>
          <w:szCs w:val="22"/>
        </w:rPr>
      </w:pPr>
      <w:r>
        <w:rPr>
          <w:sz w:val="22"/>
          <w:szCs w:val="22"/>
        </w:rPr>
        <w:t>De este modo, los funcionarios de carrera señalados anteriormente tendrán derecho a percibir el importe de los trienios que tuviesen reconocidos por servicios sucesivos prestados, desempeñando plaza o destino en propiedad, en cualquiera de las mencionadas esferas de la Administración, o en la Administración Militar y Cuerpos de la Guardia Civil y Policía Armada.</w:t>
      </w:r>
    </w:p>
    <w:p>
      <w:pPr>
        <w:pStyle w:val="Normal1"/>
        <w:jc w:val="both"/>
        <w:rPr>
          <w:sz w:val="22"/>
          <w:szCs w:val="22"/>
        </w:rPr>
      </w:pPr>
      <w:r>
        <w:rPr>
          <w:sz w:val="22"/>
          <w:szCs w:val="22"/>
        </w:rPr>
      </w:r>
    </w:p>
    <w:p>
      <w:pPr>
        <w:pStyle w:val="Normal1"/>
        <w:jc w:val="both"/>
        <w:rPr>
          <w:sz w:val="22"/>
          <w:szCs w:val="22"/>
        </w:rPr>
      </w:pPr>
      <w:r>
        <w:rPr>
          <w:sz w:val="22"/>
          <w:szCs w:val="22"/>
        </w:rPr>
        <w:t>La Disposición Adicional Primera de esta misma norma establece que los derechos individuales de naturaleza económica que resulten de lo establecido por la presente Ley deberán ser computados por las respectivas Unidades o Jefaturas del Personal a instancia de parte, justificando ésta su pretensión mediante certificación acreditativa de los servicios prestados.</w:t>
      </w:r>
    </w:p>
    <w:p>
      <w:pPr>
        <w:pStyle w:val="Normal1"/>
        <w:jc w:val="both"/>
        <w:rPr>
          <w:sz w:val="22"/>
          <w:szCs w:val="22"/>
        </w:rPr>
      </w:pPr>
      <w:r>
        <w:rPr/>
      </w:r>
    </w:p>
    <w:p>
      <w:pPr>
        <w:pStyle w:val="Normal1"/>
        <w:jc w:val="both"/>
        <w:rPr>
          <w:sz w:val="22"/>
          <w:szCs w:val="22"/>
        </w:rPr>
      </w:pPr>
      <w:r>
        <w:rPr>
          <w:sz w:val="22"/>
          <w:szCs w:val="22"/>
        </w:rPr>
        <w:t>Por su parte, el Real Decreto 1461/1982, de 25 de junio, por el que se desarrolla la Ley 70/1978, de 26 de diciembre, de reconocimiento de servicios previos en la Administración Pública, establece el procedimiento a seguir para solicitar el reconocimiento de los servicios prestados, preceptuando en su artículo 4, que dicho procedimiento se iniciará a instancia del interesado, siendo competentes para resolver las Jefaturas de Personal del Cuerpo, Escala o plaza en que el funcionario esté en activo actualmente o al que perteneciera en el momento de su jubilación.</w:t>
      </w:r>
    </w:p>
    <w:p>
      <w:pPr>
        <w:pStyle w:val="Normal1"/>
        <w:jc w:val="both"/>
        <w:rPr>
          <w:sz w:val="22"/>
          <w:szCs w:val="22"/>
        </w:rPr>
      </w:pPr>
      <w:r>
        <w:rPr>
          <w:sz w:val="22"/>
          <w:szCs w:val="22"/>
        </w:rPr>
      </w:r>
    </w:p>
    <w:p>
      <w:pPr>
        <w:pStyle w:val="Normal1"/>
        <w:jc w:val="both"/>
        <w:rPr>
          <w:sz w:val="22"/>
          <w:szCs w:val="22"/>
        </w:rPr>
      </w:pPr>
      <w:r>
        <w:rPr>
          <w:sz w:val="22"/>
          <w:szCs w:val="22"/>
        </w:rPr>
        <w:t>En relación con los efectos económicos del reconocimiento de servicios previos, los distintos Centros Gestores han señalado la problemática surgida en lo que se refiere a la determinación de la fecha concreta a partir de la cual se tiene derecho a percibir los trienios devengados que resultan del procedimiento de reconocimiento de servicios previos.</w:t>
      </w:r>
    </w:p>
    <w:p>
      <w:pPr>
        <w:pStyle w:val="Normal1"/>
        <w:jc w:val="both"/>
        <w:rPr>
          <w:sz w:val="22"/>
          <w:szCs w:val="22"/>
        </w:rPr>
      </w:pPr>
      <w:r>
        <w:rPr>
          <w:sz w:val="22"/>
          <w:szCs w:val="22"/>
        </w:rPr>
      </w:r>
    </w:p>
    <w:p>
      <w:pPr>
        <w:pStyle w:val="Normal1"/>
        <w:jc w:val="both"/>
        <w:rPr>
          <w:sz w:val="22"/>
          <w:szCs w:val="22"/>
        </w:rPr>
      </w:pPr>
      <w:r>
        <w:rPr>
          <w:sz w:val="22"/>
          <w:szCs w:val="22"/>
        </w:rPr>
        <w:t>En concreto, se han suscitado dudas sobre si dichos efectos económicos se producen únicamente desde la fecha de presentación de la solicitud por parte del funcionario que tiene derecho al reconocimiento o si, por el contrario, los efectos económicos del reconocimiento de los servicios previos deben retrotraerse al momento de perfeccionamiento de los correspondientes trienios</w:t>
      </w:r>
    </w:p>
    <w:p>
      <w:pPr>
        <w:pStyle w:val="Normal1"/>
        <w:jc w:val="both"/>
        <w:rPr>
          <w:sz w:val="22"/>
          <w:szCs w:val="22"/>
        </w:rPr>
      </w:pPr>
      <w:r>
        <w:rPr>
          <w:sz w:val="22"/>
          <w:szCs w:val="22"/>
        </w:rPr>
      </w:r>
    </w:p>
    <w:p>
      <w:pPr>
        <w:pStyle w:val="Normal1"/>
        <w:jc w:val="both"/>
        <w:rPr>
          <w:sz w:val="22"/>
          <w:szCs w:val="22"/>
        </w:rPr>
      </w:pPr>
      <w:r>
        <w:rPr>
          <w:sz w:val="22"/>
          <w:szCs w:val="22"/>
        </w:rPr>
        <w:t>Sobre esta problemática, ha de tenerse en cuenta lo siguiente:</w:t>
      </w:r>
    </w:p>
    <w:p>
      <w:pPr>
        <w:pStyle w:val="Normal1"/>
        <w:jc w:val="both"/>
        <w:rPr>
          <w:sz w:val="22"/>
          <w:szCs w:val="22"/>
        </w:rPr>
      </w:pPr>
      <w:r>
        <w:rPr/>
      </w:r>
    </w:p>
    <w:p>
      <w:pPr>
        <w:pStyle w:val="Normal1"/>
        <w:jc w:val="both"/>
        <w:rPr>
          <w:sz w:val="22"/>
          <w:szCs w:val="22"/>
        </w:rPr>
      </w:pPr>
      <w:r>
        <w:rPr>
          <w:sz w:val="22"/>
          <w:szCs w:val="22"/>
        </w:rPr>
        <w:t>1.- La doctrina jurisprudencial mayoritaria entiende que los efectos económicos del reconocimiento de los servicios previos deben retrotraerse al momento de perfeccionamiento de los correspondientes trienios, con la limitación derivada de la aplicación de la prescripción de las obligaciones de la Hacienda Pública (actualmente, 4 años, de acuerdo con el artículo 25.1 a) de la Ley 47/2003, de 26 de noviembre, General Presupuestaria).</w:t>
      </w:r>
    </w:p>
    <w:p>
      <w:pPr>
        <w:pStyle w:val="Normal1"/>
        <w:jc w:val="both"/>
        <w:rPr>
          <w:sz w:val="22"/>
          <w:szCs w:val="22"/>
        </w:rPr>
      </w:pPr>
      <w:r>
        <w:rPr>
          <w:sz w:val="22"/>
          <w:szCs w:val="22"/>
        </w:rPr>
      </w:r>
    </w:p>
    <w:p>
      <w:pPr>
        <w:pStyle w:val="Normal1"/>
        <w:jc w:val="both"/>
        <w:rPr>
          <w:sz w:val="22"/>
          <w:szCs w:val="22"/>
        </w:rPr>
      </w:pPr>
      <w:r>
        <w:rPr>
          <w:sz w:val="22"/>
          <w:szCs w:val="22"/>
        </w:rPr>
        <w:t>En particular, la Sentencia número 6842 de la Sala de lo Contencioso-Administrativo del Tribunal Supremo, de 10 de octubre de 2012, declara el derecho al demandante a que los efectos económicos del trienio reconocido se produzcan desde el día 1 del mes siguiente al de su perfección y no desde la fecha de presentación de la solicitud de reconocimiento.</w:t>
      </w:r>
    </w:p>
    <w:p>
      <w:pPr>
        <w:pStyle w:val="Normal1"/>
        <w:jc w:val="both"/>
        <w:rPr>
          <w:sz w:val="22"/>
          <w:szCs w:val="22"/>
        </w:rPr>
      </w:pPr>
      <w:r>
        <w:rPr>
          <w:sz w:val="22"/>
          <w:szCs w:val="22"/>
        </w:rPr>
      </w:r>
    </w:p>
    <w:p>
      <w:pPr>
        <w:pStyle w:val="Normal1"/>
        <w:jc w:val="both"/>
        <w:rPr>
          <w:sz w:val="22"/>
          <w:szCs w:val="22"/>
        </w:rPr>
      </w:pPr>
      <w:r>
        <w:rPr>
          <w:sz w:val="22"/>
          <w:szCs w:val="22"/>
        </w:rPr>
        <w:t>2. En lo que se refiere a la fecha de efectos económicos del reconocimiento de servicios a los funcionarios de carrera en aplicación de la Ley 70/1978, de 26 de diciembre, la Abogacía General del Estado emitió un informe, de fecha 29 de julio de 2008, Referencia A.G. Defensa 1/08, cuyo contenido se transcribe a continuación:</w:t>
      </w:r>
    </w:p>
    <w:p>
      <w:pPr>
        <w:pStyle w:val="Normal1"/>
        <w:jc w:val="both"/>
        <w:rPr>
          <w:sz w:val="22"/>
          <w:szCs w:val="22"/>
        </w:rPr>
      </w:pPr>
      <w:r>
        <w:rPr>
          <w:sz w:val="22"/>
          <w:szCs w:val="22"/>
        </w:rPr>
      </w:r>
    </w:p>
    <w:p>
      <w:pPr>
        <w:pStyle w:val="Normal1"/>
        <w:jc w:val="both"/>
        <w:rPr>
          <w:sz w:val="22"/>
          <w:szCs w:val="22"/>
        </w:rPr>
      </w:pPr>
      <w:r>
        <w:rPr>
          <w:sz w:val="22"/>
          <w:szCs w:val="22"/>
        </w:rPr>
        <w:t>“</w:t>
      </w:r>
      <w:r>
        <w:rPr>
          <w:sz w:val="22"/>
          <w:szCs w:val="22"/>
        </w:rPr>
        <w:t>los efectos económicos de las resoluciones de reconocimiento de servicios previos dictadas por la</w:t>
      </w:r>
    </w:p>
    <w:p>
      <w:pPr>
        <w:pStyle w:val="Normal1"/>
        <w:jc w:val="both"/>
        <w:rPr>
          <w:sz w:val="22"/>
          <w:szCs w:val="22"/>
        </w:rPr>
      </w:pPr>
      <w:r>
        <w:rPr>
          <w:sz w:val="22"/>
          <w:szCs w:val="22"/>
        </w:rPr>
        <w:t>Administración en aplicación de lo dispuesto en la Ley 70/1978, de 26 de diciembre, de reconocimiento de servicios previos en la Administración Pública, deben entenderse producidos, no desde la fecha de presentación de las preceptivas solicitudes por parte de los funcionarios de carrera interesados, sino con carácter retroactivo desde el momento en que debieron entenderse perfeccionados los correspondientes trienios, con la única limitación derivada de la observancia del plazo legalmente establecido para la prescripción del derecho de los interesados al reconocimiento o liquidación de obligaciones por parte de la Hacienda Pública (en la actualidad, cuatro años, de acuerdo con el artículo 25.1.a) de la vigente Ley General Presupuestaria)”.</w:t>
      </w:r>
    </w:p>
    <w:p>
      <w:pPr>
        <w:pStyle w:val="Normal1"/>
        <w:jc w:val="both"/>
        <w:rPr>
          <w:sz w:val="22"/>
          <w:szCs w:val="22"/>
        </w:rPr>
      </w:pPr>
      <w:r>
        <w:rPr>
          <w:sz w:val="22"/>
          <w:szCs w:val="22"/>
        </w:rPr>
      </w:r>
    </w:p>
    <w:p>
      <w:pPr>
        <w:pStyle w:val="Normal1"/>
        <w:jc w:val="both"/>
        <w:rPr>
          <w:sz w:val="22"/>
          <w:szCs w:val="22"/>
        </w:rPr>
      </w:pPr>
      <w:r>
        <w:rPr>
          <w:sz w:val="22"/>
          <w:szCs w:val="22"/>
        </w:rPr>
        <w:t>3. El artículo 39.3 de la Ley 39/2015, de 1 de octubre, del Procedimiento Administrativo Común de las Administraciones Públicas, dispone que “Excepcionalmente, podrá otorgarse eficacia retroactiva a los actos cuando se dicten en sustitución de actos anulados, así como cuando produzcan efectos favorables al interesado, siempre que los supuestos de hecho necesarios existieran ya en la fecha a que se retrotraiga la eficacia del acto y ésta no lesione derechos o intereses legítimos de otras personas”.</w:t>
      </w:r>
    </w:p>
    <w:p>
      <w:pPr>
        <w:pStyle w:val="Normal1"/>
        <w:jc w:val="both"/>
        <w:rPr>
          <w:sz w:val="22"/>
          <w:szCs w:val="22"/>
        </w:rPr>
      </w:pPr>
      <w:r>
        <w:rPr>
          <w:sz w:val="22"/>
          <w:szCs w:val="22"/>
        </w:rPr>
        <w:t>Según el precepto transcrito, la Ley admite la posibilidad de que en ciertos casos los actos puedan retrotraer sus efectos a un momento anterior al de la fecha en que se dictan, si bien esa posibilidad queda matizada y circunscrita a unos límites muy concretos.</w:t>
      </w:r>
    </w:p>
    <w:p>
      <w:pPr>
        <w:pStyle w:val="Normal1"/>
        <w:jc w:val="both"/>
        <w:rPr>
          <w:sz w:val="22"/>
          <w:szCs w:val="22"/>
        </w:rPr>
      </w:pPr>
      <w:r>
        <w:rPr>
          <w:sz w:val="22"/>
          <w:szCs w:val="22"/>
        </w:rPr>
      </w:r>
    </w:p>
    <w:p>
      <w:pPr>
        <w:pStyle w:val="Normal1"/>
        <w:jc w:val="both"/>
        <w:rPr>
          <w:sz w:val="22"/>
          <w:szCs w:val="22"/>
        </w:rPr>
      </w:pPr>
      <w:r>
        <w:rPr>
          <w:sz w:val="22"/>
          <w:szCs w:val="22"/>
        </w:rPr>
        <w:t>Admite, por tanto, el artículo 39 la retroacción de los efectos del acto cuando este produzca efectos favorables al interesado, siempre que los supuestos de hecho necesarios existieran ya en la fecha a que se retrotraiga la eficacia del acto; sensu contrario, en el caso del reconocimiento de servicios previos, si la retroacción de sus efectos fuera desfavorable para el solicitante, debería, en ese supuesto, no aplicarse al no estar permitido por el precepto citado.</w:t>
      </w:r>
    </w:p>
    <w:p>
      <w:pPr>
        <w:pStyle w:val="Normal1"/>
        <w:jc w:val="both"/>
        <w:rPr>
          <w:sz w:val="22"/>
          <w:szCs w:val="22"/>
        </w:rPr>
      </w:pPr>
      <w:r>
        <w:rPr>
          <w:sz w:val="22"/>
          <w:szCs w:val="22"/>
        </w:rPr>
      </w:r>
    </w:p>
    <w:p>
      <w:pPr>
        <w:pStyle w:val="Normal1"/>
        <w:jc w:val="both"/>
        <w:rPr>
          <w:sz w:val="22"/>
          <w:szCs w:val="22"/>
        </w:rPr>
      </w:pPr>
      <w:r>
        <w:rPr>
          <w:sz w:val="22"/>
          <w:szCs w:val="22"/>
        </w:rPr>
        <w:t>4. Las retribuciones relativas a los trienios derivados del reconocimiento de servicios previos previsto en la Ley 70/1978, de 26 de diciembre, son créditos públicos a los que se les aplica las normas que, sobre prescripción de las obligaciones de la Hacienda Pública estatal, establece el artículo 25 de la Ley 47/2003, de 26 de noviembre, General Presupuestaria.</w:t>
      </w:r>
    </w:p>
    <w:p>
      <w:pPr>
        <w:pStyle w:val="Normal1"/>
        <w:jc w:val="both"/>
        <w:rPr>
          <w:sz w:val="22"/>
          <w:szCs w:val="22"/>
        </w:rPr>
      </w:pPr>
      <w:r>
        <w:rPr>
          <w:sz w:val="22"/>
          <w:szCs w:val="22"/>
        </w:rPr>
      </w:r>
    </w:p>
    <w:p>
      <w:pPr>
        <w:pStyle w:val="Normal1"/>
        <w:jc w:val="both"/>
        <w:rPr>
          <w:sz w:val="22"/>
          <w:szCs w:val="22"/>
        </w:rPr>
      </w:pPr>
      <w:r>
        <w:rPr>
          <w:b/>
          <w:sz w:val="22"/>
          <w:szCs w:val="22"/>
        </w:rPr>
        <w:t>Por todo lo anteriormente expuesto SOLICITA:</w:t>
      </w:r>
      <w:r>
        <w:rPr>
          <w:sz w:val="22"/>
          <w:szCs w:val="22"/>
        </w:rPr>
        <w:t xml:space="preserve"> </w:t>
      </w:r>
    </w:p>
    <w:p>
      <w:pPr>
        <w:pStyle w:val="Normal1"/>
        <w:jc w:val="both"/>
        <w:rPr>
          <w:sz w:val="22"/>
          <w:szCs w:val="22"/>
        </w:rPr>
      </w:pPr>
      <w:r>
        <w:rPr>
          <w:sz w:val="22"/>
          <w:szCs w:val="22"/>
        </w:rPr>
      </w:r>
    </w:p>
    <w:p>
      <w:pPr>
        <w:pStyle w:val="Normal1"/>
        <w:jc w:val="both"/>
        <w:rPr>
          <w:sz w:val="22"/>
          <w:szCs w:val="22"/>
        </w:rPr>
      </w:pPr>
      <w:r>
        <w:rPr>
          <w:sz w:val="22"/>
          <w:szCs w:val="22"/>
        </w:rPr>
        <w:t xml:space="preserve">Que se tenga por presentado en tiempo y forma el presente </w:t>
      </w:r>
      <w:r>
        <w:rPr>
          <w:b/>
          <w:sz w:val="22"/>
          <w:szCs w:val="22"/>
        </w:rPr>
        <w:t>RECURSO DE ALZADA</w:t>
      </w:r>
      <w:r>
        <w:rPr>
          <w:sz w:val="22"/>
          <w:szCs w:val="22"/>
        </w:rPr>
        <w:t xml:space="preserve"> contra la Resolución de la Dirección General de Personal Docente de fecha ……………………. y solicita sea revisada dicha decisión, otorgándole al recurrente el reconocimiento de los servicios previos a fecha 1-09-23, y le sean abonados los atrasos correspondientes. </w:t>
      </w:r>
    </w:p>
    <w:p>
      <w:pPr>
        <w:pStyle w:val="Normal1"/>
        <w:jc w:val="both"/>
        <w:rPr>
          <w:sz w:val="22"/>
          <w:szCs w:val="22"/>
        </w:rPr>
      </w:pPr>
      <w:r>
        <w:rPr>
          <w:sz w:val="22"/>
          <w:szCs w:val="22"/>
        </w:rPr>
      </w:r>
    </w:p>
    <w:p>
      <w:pPr>
        <w:pStyle w:val="Normal1"/>
        <w:jc w:val="both"/>
        <w:rPr>
          <w:sz w:val="22"/>
          <w:szCs w:val="22"/>
        </w:rPr>
      </w:pPr>
      <w:r>
        <w:rPr>
          <w:sz w:val="22"/>
          <w:szCs w:val="22"/>
        </w:rPr>
        <w:t xml:space="preserve">En Santander a </w:t>
      </w:r>
    </w:p>
    <w:p>
      <w:pPr>
        <w:pStyle w:val="Normal1"/>
        <w:jc w:val="both"/>
        <w:rPr>
          <w:sz w:val="22"/>
          <w:szCs w:val="22"/>
        </w:rPr>
      </w:pPr>
      <w:r>
        <w:rPr>
          <w:sz w:val="22"/>
          <w:szCs w:val="22"/>
        </w:rPr>
      </w:r>
    </w:p>
    <w:p>
      <w:pPr>
        <w:pStyle w:val="Normal1"/>
        <w:jc w:val="both"/>
        <w:rPr>
          <w:sz w:val="22"/>
          <w:szCs w:val="22"/>
        </w:rPr>
      </w:pPr>
      <w:r>
        <w:rPr>
          <w:sz w:val="22"/>
          <w:szCs w:val="22"/>
        </w:rPr>
        <w:t xml:space="preserve">Firmado: </w:t>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center"/>
        <w:rPr>
          <w:b/>
          <w:sz w:val="22"/>
          <w:szCs w:val="22"/>
        </w:rPr>
      </w:pPr>
      <w:r>
        <w:rPr>
          <w:b/>
          <w:sz w:val="22"/>
          <w:szCs w:val="22"/>
        </w:rPr>
        <w:t>CONSEJERO DE EDUCACIÓN, FORMACIÓN PROFESIONAL Y UNIVERSIDADES DEL GOBIERNO DE CANTABRIA</w:t>
      </w:r>
    </w:p>
    <w:sectPr>
      <w:type w:val="nextPage"/>
      <w:pgSz w:w="11906" w:h="16838"/>
      <w:pgMar w:left="1134" w:right="1134"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Georgia">
    <w:charset w:val="01"/>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s-E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oto Serif CJK SC" w:cs="Lohit Devanagari"/>
      <w:color w:val="auto"/>
      <w:kern w:val="2"/>
      <w:sz w:val="24"/>
      <w:szCs w:val="24"/>
      <w:lang w:val="es-ES"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Vietas">
    <w:name w:val="Viñetas"/>
    <w:qFormat/>
    <w:rPr>
      <w:rFonts w:ascii="OpenSymbol" w:hAnsi="OpenSymbol" w:eastAsia="OpenSymbol" w:cs="OpenSymbol"/>
    </w:rPr>
  </w:style>
  <w:style w:type="character" w:styleId="EnlacedeInternet">
    <w:name w:val="Hyperlink"/>
    <w:rPr>
      <w:color w:val="000080"/>
      <w:u w:val="single"/>
    </w:rPr>
  </w:style>
  <w:style w:type="paragraph" w:styleId="Ttulo">
    <w:name w:val="Título"/>
    <w:basedOn w:val="Normal1"/>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rFonts w:cs="Lohit Devanagari"/>
    </w:rPr>
  </w:style>
  <w:style w:type="paragraph" w:styleId="Leyenda">
    <w:name w:val="Caption"/>
    <w:basedOn w:val="Normal1"/>
    <w:qFormat/>
    <w:pPr>
      <w:suppressLineNumbers/>
      <w:spacing w:before="120" w:after="120"/>
    </w:pPr>
    <w:rPr>
      <w:rFonts w:cs="Lohit Devanagari"/>
      <w:i/>
      <w:iCs/>
      <w:sz w:val="24"/>
      <w:szCs w:val="24"/>
    </w:rPr>
  </w:style>
  <w:style w:type="paragraph" w:styleId="Ndice">
    <w:name w:val="Índice"/>
    <w:basedOn w:val="Normal1"/>
    <w:qFormat/>
    <w:pPr>
      <w:suppressLineNumbers/>
    </w:pPr>
    <w:rPr>
      <w:rFonts w:cs="Lohit Devanagari"/>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s-ES" w:eastAsia="zh-CN" w:bidi="hi-IN"/>
    </w:rPr>
  </w:style>
  <w:style w:type="paragraph" w:styleId="Ttulogeneral">
    <w:name w:val="Title"/>
    <w:basedOn w:val="Normal1"/>
    <w:next w:val="Normal1"/>
    <w:qFormat/>
    <w:pPr>
      <w:keepNext w:val="true"/>
      <w:keepLines/>
      <w:pageBreakBefore w:val="false"/>
      <w:spacing w:lineRule="auto" w:line="240" w:before="480" w:after="120"/>
    </w:pPr>
    <w:rPr>
      <w:b/>
      <w:sz w:val="72"/>
      <w:szCs w:val="72"/>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ducantabria.e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2AQAzTa+7rU6LAUK7qwdQqJH9w==">CgMxLjA4AHIhMTVNUXBQQUlrN1h5M0YtQU5ma2RHdnF2cE1reTlHMUN3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TotalTime>
  <Application>LibreOffice/7.5.9.2$Linux_X86_64 LibreOffice_project/50$Build-2</Application>
  <AppVersion>15.0000</AppVersion>
  <Pages>3</Pages>
  <Words>1442</Words>
  <Characters>8145</Characters>
  <CharactersWithSpaces>9567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2024-03-03T17:19:12Z</dcterms:created>
  <dc:creator/>
  <dc:description/>
  <dc:language>es-ES</dc:language>
  <cp:lastModifiedBy/>
  <dcterms:modified xsi:type="dcterms:W3CDTF">2024-03-05T16:34:56Z</dcterms:modified>
  <cp:revision>1</cp:revision>
  <dc:subject/>
  <dc:title/>
</cp:coreProperties>
</file>